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Look w:firstColumn="1" w:firstRow="1" w:lastColumn="0" w:lastRow="0" w:noHBand="0" w:noVBand="1" w:val="04A0"/>
      </w:tblPr>
      <w:tblGrid>
        <w:gridCol w:w="4816"/>
        <w:gridCol w:w="4816"/>
      </w:tblGrid>
      <w:tr>
        <w:trPr>
          <w:cantSplit/>
        </w:trPr>
        <w:tc>
          <w:tcPr>
            <w:tcW w:type="dxa" w:w="158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top w:w="60" w:type="dxa"/>
              <w:left w:w="60" w:type="dxa"/>
              <w:bottom w:w="60" w:type="dxa"/>
              <w:right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8680" cy="8708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708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top w:w="60" w:type="dxa"/>
              <w:left w:w="100" w:type="dxa"/>
              <w:bottom w:w="60" w:type="dxa"/>
              <w:right w:w="60" w:type="dxa"/>
            </w:tcMar>
          </w:tcPr>
          <w:p>
            <w:pPr>
              <w:spacing w:before="0" w:after="20"/>
            </w:pPr>
            <w:r>
              <w:rPr>
                <w:rFonts w:ascii="Arial" w:hAnsi="Arial"/>
                <w:color w:val="64748B"/>
                <w:sz w:val="15"/>
              </w:rPr>
              <w:t>РЕПУБЛИКА БЪЛГАРИЯ • МИНИСТЕРСТВО НА ОБРАЗОВАНИЕТО И НАУКАТА</w:t>
            </w:r>
          </w:p>
          <w:p>
            <w:pPr>
              <w:spacing w:before="0" w:after="20"/>
            </w:pPr>
            <w:r>
              <w:rPr>
                <w:rFonts w:ascii="Arial" w:hAnsi="Arial"/>
                <w:b/>
                <w:color w:val="8A1538"/>
                <w:sz w:val="21"/>
              </w:rPr>
              <w:t>СУ „ПЕТКО РАЧОВ СЛАВЕЙКОВ“ – ГР. КЪРДЖАЛИ</w:t>
            </w:r>
          </w:p>
          <w:p>
            <w:pPr>
              <w:spacing w:before="0" w:after="0"/>
            </w:pPr>
            <w:r>
              <w:rPr>
                <w:rFonts w:ascii="Arial" w:hAnsi="Arial"/>
                <w:b/>
                <w:color w:val="1E3A8A"/>
                <w:sz w:val="17"/>
              </w:rPr>
              <w:t>УЧЕНИЧЕСКИ ПАРЛАМЕНТ • ОРГАН НА УЧЕНИЧЕСКОТО САМОУПРАВЛЕНИЕ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Look w:firstColumn="1" w:firstRow="1" w:lastColumn="0" w:lastRow="0" w:noHBand="0" w:noVBand="1" w:val="04A0"/>
      </w:tblPr>
      <w:tblGrid>
        <w:gridCol w:w="9633"/>
      </w:tblGrid>
      <w:tr>
        <w:trPr>
          <w:cantSplit/>
        </w:trPr>
        <w:tc>
          <w:tcPr>
            <w:tcW w:type="dxa" w:w="9634"/>
            <w:shd w:fill="8A1538"/>
            <w:tcMar>
              <w:top w:w="180" w:type="dxa"/>
              <w:left w:w="240" w:type="dxa"/>
              <w:bottom w:w="180" w:type="dxa"/>
              <w:right w:w="240" w:type="dxa"/>
            </w:tcMar>
          </w:tcPr>
          <w:p>
            <w:pPr>
              <w:spacing w:before="0" w:after="40"/>
              <w:jc w:val="center"/>
            </w:pPr>
            <w:r>
              <w:rPr>
                <w:rFonts w:ascii="Arial" w:hAnsi="Arial"/>
                <w:b/>
                <w:color w:val="DFB15B"/>
                <w:sz w:val="17"/>
              </w:rPr>
              <w:t>ОФИЦИАЛЕН ВЪТРЕШЕН УСТРОЙСТВЕН АКТ</w:t>
            </w:r>
          </w:p>
          <w:p>
            <w:pPr>
              <w:spacing w:before="0" w:after="40"/>
              <w:jc w:val="center"/>
            </w:pPr>
            <w:r>
              <w:rPr>
                <w:rFonts w:ascii="Arial" w:hAnsi="Arial"/>
                <w:b/>
                <w:color w:val="FFFFFF"/>
                <w:sz w:val="30"/>
              </w:rPr>
              <w:t>УСТАВ НА УЧЕНИЧЕСКИЯ ПАРЛАМЕНТ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/>
                <w:color w:val="F1F5F9"/>
                <w:sz w:val="20"/>
              </w:rPr>
              <w:t>при СУ „Петко Рачов Славейков“ – гр. Кърджали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Look w:firstColumn="1" w:firstRow="1" w:lastColumn="0" w:lastRow="0" w:noHBand="0" w:noVBand="1" w:val="04A0"/>
      </w:tblPr>
      <w:tblGrid>
        <w:gridCol w:w="9633"/>
      </w:tblGrid>
      <w:tr>
        <w:trPr>
          <w:cantSplit/>
        </w:trPr>
        <w:tc>
          <w:tcPr>
            <w:tcW w:type="dxa" w:w="9634"/>
            <w:shd w:fill="F8FAFC"/>
            <w:tcBorders>
              <w:top w:val="single" w:sz="6" w:space="0" w:color="E2E8F0"/>
              <w:left w:val="single" w:sz="24" w:space="0" w:color="DFB15B"/>
              <w:bottom w:val="single" w:sz="6" w:space="0" w:color="E2E8F0"/>
              <w:right w:val="single" w:sz="6" w:space="0" w:color="E2E8F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" w:hAnsi="Arial"/>
                <w:b/>
                <w:color w:val="8A1538"/>
                <w:sz w:val="17"/>
              </w:rPr>
              <w:t xml:space="preserve">Правна рамка и валидност: </w:t>
            </w:r>
            <w:r>
              <w:rPr>
                <w:rFonts w:ascii="Arial" w:hAnsi="Arial"/>
                <w:color w:val="334155"/>
                <w:sz w:val="17"/>
              </w:rPr>
              <w:t>Закон за предучилищното и училищното образование (ЗПУО), държавни образователни стандарти на МОН, Правилник за дейността на училището и Етичен кодекс на училищната общност. Документът съдържа 7 глави и 21 члена. В сила за учебната 2026/2027 г.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2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Look w:firstColumn="1" w:firstRow="1" w:lastColumn="0" w:lastRow="0" w:noHBand="0" w:noVBand="1" w:val="04A0"/>
      </w:tblPr>
      <w:tblGrid>
        <w:gridCol w:w="9633"/>
      </w:tblGrid>
      <w:tr>
        <w:trPr>
          <w:cantSplit/>
        </w:trPr>
        <w:tc>
          <w:tcPr>
            <w:tcW w:type="dxa" w:w="9634"/>
            <w:tcMar>
              <w:top w:w="140" w:type="dxa"/>
              <w:left w:w="180" w:type="dxa"/>
              <w:bottom w:w="140" w:type="dxa"/>
              <w:right w:w="180" w:type="dxa"/>
            </w:tcMar>
            <w:shd w:fill="F8FAFC"/>
            <w:tcBorders>
              <w:top w:val="single" w:sz="6" w:space="0" w:color="E2E8F0"/>
              <w:left w:val="single" w:sz="24" w:space="0" w:color="8A1538"/>
              <w:bottom w:val="single" w:sz="6" w:space="0" w:color="E2E8F0"/>
              <w:right w:val="single" w:sz="6" w:space="0" w:color="E2E8F0"/>
            </w:tcBorders>
          </w:tcPr>
          <w:p>
            <w:pPr>
              <w:keepNext/>
              <w:spacing w:before="0" w:after="0" w:line="276" w:lineRule="auto"/>
            </w:pPr>
            <w:r>
              <w:rPr>
                <w:rFonts w:ascii="Arial" w:hAnsi="Arial"/>
                <w:b/>
                <w:color w:val="8A1538"/>
                <w:sz w:val="22"/>
              </w:rPr>
              <w:t xml:space="preserve">ГЛАВА I: </w:t>
            </w:r>
            <w:r>
              <w:rPr>
                <w:rFonts w:ascii="Arial" w:hAnsi="Arial"/>
                <w:b/>
                <w:color w:val="0F172A"/>
                <w:sz w:val="22"/>
              </w:rPr>
              <w:t xml:space="preserve">ОСНОВНИ НАЧАЛА  </w:t>
            </w:r>
            <w:r>
              <w:rPr>
                <w:rFonts w:ascii="Arial" w:hAnsi="Arial"/>
                <w:b/>
                <w:color w:val="B45309"/>
                <w:sz w:val="18"/>
              </w:rPr>
              <w:t>[Чл. 1 – Чл. 5]</w:t>
            </w:r>
          </w:p>
        </w:tc>
      </w:tr>
    </w:tbl>
    <w:p>
      <w:pPr>
        <w:spacing w:before="0" w:after="60" w:line="240" w:lineRule="auto"/>
      </w:pP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1. Определение</w:t>
      </w:r>
    </w:p>
    <w:p>
      <w:pPr>
        <w:spacing w:before="30" w:after="60" w:line="276" w:lineRule="auto"/>
      </w:pPr>
      <w:r>
        <w:rPr>
          <w:rFonts w:ascii="Arial" w:hAnsi="Arial"/>
          <w:b/>
          <w:color w:val="0F172A"/>
          <w:sz w:val="19"/>
        </w:rPr>
        <w:t xml:space="preserve">(1) </w:t>
      </w:r>
      <w:r>
        <w:rPr>
          <w:rFonts w:ascii="Arial" w:hAnsi="Arial"/>
          <w:color w:val="1E293B"/>
          <w:sz w:val="19"/>
        </w:rPr>
        <w:t>Ученическият парламент (УП) е официалната форма на ученическо самоуправление на учениците в СУ „П. Р. Славейков“ – гр. Кърджали, чрез която те участват в училищния живот и в организационното развитие на училището на ниво паралелка и училище.</w:t>
      </w:r>
    </w:p>
    <w:p>
      <w:pPr>
        <w:spacing w:before="30" w:after="60" w:line="276" w:lineRule="auto"/>
      </w:pPr>
      <w:r>
        <w:rPr>
          <w:rFonts w:ascii="Arial" w:hAnsi="Arial"/>
          <w:b/>
          <w:color w:val="0F172A"/>
          <w:sz w:val="19"/>
        </w:rPr>
        <w:t xml:space="preserve">(2) </w:t>
      </w:r>
      <w:r>
        <w:rPr>
          <w:rFonts w:ascii="Arial" w:hAnsi="Arial"/>
          <w:color w:val="1E293B"/>
          <w:sz w:val="19"/>
        </w:rPr>
        <w:t>Ученическият парламент е демократична организация, чиято дейност е свързана с вземане на решения относно учениците, училището и извънучебните дейности, които официално се представят пред Директора, Педагогическия съвет и Обществения съвет.</w:t>
      </w:r>
    </w:p>
    <w:p>
      <w:pPr>
        <w:spacing w:before="30" w:after="60" w:line="276" w:lineRule="auto"/>
      </w:pPr>
      <w:r>
        <w:rPr>
          <w:rFonts w:ascii="Arial" w:hAnsi="Arial"/>
          <w:b/>
          <w:color w:val="0F172A"/>
          <w:sz w:val="19"/>
        </w:rPr>
        <w:t xml:space="preserve">(3) </w:t>
      </w:r>
      <w:r>
        <w:rPr>
          <w:rFonts w:ascii="Arial" w:hAnsi="Arial"/>
          <w:color w:val="1E293B"/>
          <w:sz w:val="19"/>
        </w:rPr>
        <w:t>В дейността на Ученическия парламент не се допуска осъществяването на политическа и партийна дейност.</w:t>
      </w: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2. Нормативна рамка</w:t>
      </w:r>
    </w:p>
    <w:p>
      <w:pPr>
        <w:spacing w:before="30" w:after="60" w:line="276" w:lineRule="auto"/>
      </w:pPr>
      <w:r>
        <w:rPr>
          <w:rFonts w:ascii="Arial" w:hAnsi="Arial"/>
          <w:color w:val="1E293B"/>
          <w:sz w:val="19"/>
        </w:rPr>
        <w:t>Ученическият парламент се ръководи от Закона за предучилищното и училищното образование (ЗПУО), държавните образователни стандарти на МОН, Правилника за дейността на училището и Етичния кодекс на училищната общност.</w:t>
      </w: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3. Задачи на УП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Да съдейства за придобиване на интелектуални умения, социална култура и гражданска ангажираност на учениците.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Да създава предпоставки за личностна мотивация и активно участие на учениците в учебно-възпитателния процес и извънучилищните мероприятия.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Да работи за изграждане на позитивен организационен климат, основан на сътрудничество, ефективна комуникация и отношения на загриженост.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Да развива формите на ученическо самоуправление чрез Общото събрание на парламента, съветите по класове и работните комисии.</w:t>
      </w: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4. Цели на УП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Да обединява и представлява всички ученици от училището.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Да дава гласност на проблемите и идеите на учениците и да защитава техните права и интереси.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Да стимулира ангажираността в общоучилищния живот чрез модерни форми на комуникация и официален уебсайт на УП.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Да организира извънкласни дейности, благотворителни кампании, празници, спортни турнири, състезания и конкурси.</w:t>
      </w: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5. Партньорства и връзки на УП</w:t>
      </w:r>
    </w:p>
    <w:p>
      <w:pPr>
        <w:spacing w:before="30" w:after="60" w:line="276" w:lineRule="auto"/>
      </w:pPr>
      <w:r>
        <w:rPr>
          <w:rFonts w:ascii="Arial" w:hAnsi="Arial"/>
          <w:color w:val="1E293B"/>
          <w:sz w:val="19"/>
        </w:rPr>
        <w:t>Ученическият парламент си сътрудничи с: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Директора на училището и Педагогическия съвет.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Класните ръководители, преподавателите и дежурните учители.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Обществения съвет, Родителската общност и Училищното настоятелство.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Други училища и общински младежки организации.</w:t>
      </w:r>
    </w:p>
    <w:p>
      <w:pPr>
        <w:spacing w:before="0" w:after="12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Look w:firstColumn="1" w:firstRow="1" w:lastColumn="0" w:lastRow="0" w:noHBand="0" w:noVBand="1" w:val="04A0"/>
      </w:tblPr>
      <w:tblGrid>
        <w:gridCol w:w="9633"/>
      </w:tblGrid>
      <w:tr>
        <w:trPr>
          <w:cantSplit/>
        </w:trPr>
        <w:tc>
          <w:tcPr>
            <w:tcW w:type="dxa" w:w="9634"/>
            <w:tcMar>
              <w:top w:w="140" w:type="dxa"/>
              <w:left w:w="180" w:type="dxa"/>
              <w:bottom w:w="140" w:type="dxa"/>
              <w:right w:w="180" w:type="dxa"/>
            </w:tcMar>
            <w:shd w:fill="F8FAFC"/>
            <w:tcBorders>
              <w:top w:val="single" w:sz="6" w:space="0" w:color="E2E8F0"/>
              <w:left w:val="single" w:sz="24" w:space="0" w:color="8A1538"/>
              <w:bottom w:val="single" w:sz="6" w:space="0" w:color="E2E8F0"/>
              <w:right w:val="single" w:sz="6" w:space="0" w:color="E2E8F0"/>
            </w:tcBorders>
          </w:tcPr>
          <w:p>
            <w:pPr>
              <w:keepNext/>
              <w:spacing w:before="0" w:after="0" w:line="276" w:lineRule="auto"/>
            </w:pPr>
            <w:r>
              <w:rPr>
                <w:rFonts w:ascii="Arial" w:hAnsi="Arial"/>
                <w:b/>
                <w:color w:val="8A1538"/>
                <w:sz w:val="22"/>
              </w:rPr>
              <w:t xml:space="preserve">ГЛАВА II: </w:t>
            </w:r>
            <w:r>
              <w:rPr>
                <w:rFonts w:ascii="Arial" w:hAnsi="Arial"/>
                <w:b/>
                <w:color w:val="0F172A"/>
                <w:sz w:val="22"/>
              </w:rPr>
              <w:t xml:space="preserve">СТРУКТУРА И ИЗБОРИ  </w:t>
            </w:r>
            <w:r>
              <w:rPr>
                <w:rFonts w:ascii="Arial" w:hAnsi="Arial"/>
                <w:b/>
                <w:color w:val="B45309"/>
                <w:sz w:val="18"/>
              </w:rPr>
              <w:t>[Чл. 6 – Чл. 8]</w:t>
            </w:r>
          </w:p>
        </w:tc>
      </w:tr>
    </w:tbl>
    <w:p>
      <w:pPr>
        <w:spacing w:before="0" w:after="60" w:line="240" w:lineRule="auto"/>
      </w:pP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6. Органи и длъжности в УП</w:t>
      </w:r>
    </w:p>
    <w:p>
      <w:pPr>
        <w:spacing w:before="30" w:after="60" w:line="276" w:lineRule="auto"/>
      </w:pPr>
      <w:r>
        <w:rPr>
          <w:rFonts w:ascii="Arial" w:hAnsi="Arial"/>
          <w:color w:val="1E293B"/>
          <w:sz w:val="19"/>
        </w:rPr>
        <w:t>Структурата на Ученическия парламент включва:</w:t>
      </w:r>
    </w:p>
    <w:p>
      <w:pPr>
        <w:spacing w:before="30" w:after="60" w:line="276" w:lineRule="auto"/>
        <w:ind w:left="216"/>
      </w:pPr>
      <w:r>
        <w:rPr>
          <w:rFonts w:ascii="Arial" w:hAnsi="Arial"/>
          <w:b/>
          <w:color w:val="0F172A"/>
          <w:sz w:val="19"/>
        </w:rPr>
        <w:t xml:space="preserve">(1) Общо събрание на Ученическия парламент (ОСУП): </w:t>
      </w:r>
      <w:r>
        <w:rPr>
          <w:rFonts w:ascii="Arial" w:hAnsi="Arial"/>
          <w:color w:val="1E293B"/>
          <w:sz w:val="19"/>
        </w:rPr>
        <w:t>Състои се от всички легитимно избрани представители на класовете.</w:t>
      </w:r>
    </w:p>
    <w:p>
      <w:pPr>
        <w:spacing w:before="30" w:after="60" w:line="276" w:lineRule="auto"/>
        <w:ind w:left="216"/>
      </w:pPr>
      <w:r>
        <w:rPr>
          <w:rFonts w:ascii="Arial" w:hAnsi="Arial"/>
          <w:b/>
          <w:color w:val="0F172A"/>
          <w:sz w:val="19"/>
        </w:rPr>
        <w:t xml:space="preserve">(2) Управителен съвет (УС) – </w:t>
      </w:r>
      <w:r>
        <w:rPr>
          <w:rFonts w:ascii="Arial" w:hAnsi="Arial"/>
          <w:color w:val="1E293B"/>
          <w:sz w:val="19"/>
        </w:rPr>
        <w:t>3 ключови позиции с мандат от 1 учебна година:</w:t>
      </w:r>
    </w:p>
    <w:p>
      <w:pPr>
        <w:spacing w:before="30" w:after="40" w:line="276" w:lineRule="auto"/>
        <w:ind w:left="504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Председател.</w:t>
      </w:r>
    </w:p>
    <w:p>
      <w:pPr>
        <w:spacing w:before="30" w:after="40" w:line="276" w:lineRule="auto"/>
        <w:ind w:left="504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Заместник-председател.</w:t>
      </w:r>
    </w:p>
    <w:p>
      <w:pPr>
        <w:spacing w:before="30" w:after="40" w:line="276" w:lineRule="auto"/>
        <w:ind w:left="504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PR мениджър (Връзки с обществеността).</w:t>
      </w:r>
    </w:p>
    <w:p>
      <w:pPr>
        <w:spacing w:before="30" w:after="60" w:line="276" w:lineRule="auto"/>
        <w:ind w:left="216"/>
      </w:pPr>
      <w:r>
        <w:rPr>
          <w:rFonts w:ascii="Arial" w:hAnsi="Arial"/>
          <w:b/>
          <w:color w:val="0F172A"/>
          <w:sz w:val="19"/>
        </w:rPr>
        <w:t xml:space="preserve">(3) Постоянни работни комисии и техните ръководители – </w:t>
      </w:r>
      <w:r>
        <w:rPr>
          <w:rFonts w:ascii="Arial" w:hAnsi="Arial"/>
          <w:color w:val="1E293B"/>
          <w:sz w:val="19"/>
        </w:rPr>
        <w:t>4 специализирани ресорни позиции:</w:t>
      </w:r>
    </w:p>
    <w:p>
      <w:pPr>
        <w:spacing w:before="30" w:after="40" w:line="276" w:lineRule="auto"/>
        <w:ind w:left="504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Ръководител на комисия „Празници и култура“.</w:t>
      </w:r>
    </w:p>
    <w:p>
      <w:pPr>
        <w:spacing w:before="30" w:after="40" w:line="276" w:lineRule="auto"/>
        <w:ind w:left="504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Ръководител на комисия „Благотворителност и социални дейности“.</w:t>
      </w:r>
    </w:p>
    <w:p>
      <w:pPr>
        <w:spacing w:before="30" w:after="40" w:line="276" w:lineRule="auto"/>
        <w:ind w:left="504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Ръководител на комисия „Медии и дизайн“.</w:t>
      </w:r>
    </w:p>
    <w:p>
      <w:pPr>
        <w:spacing w:before="30" w:after="40" w:line="276" w:lineRule="auto"/>
        <w:ind w:left="504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Ръководител на комисия „Спорт и екология“.</w:t>
      </w:r>
    </w:p>
    <w:p>
      <w:pPr>
        <w:spacing w:before="30" w:after="60" w:line="276" w:lineRule="auto"/>
        <w:ind w:left="216"/>
      </w:pPr>
      <w:r>
        <w:rPr>
          <w:rFonts w:ascii="Arial" w:hAnsi="Arial"/>
          <w:b/>
          <w:color w:val="0F172A"/>
          <w:sz w:val="19"/>
        </w:rPr>
        <w:t xml:space="preserve">(4) Ученическо представителство на ниво паралелка: </w:t>
      </w:r>
      <w:r>
        <w:rPr>
          <w:rFonts w:ascii="Arial" w:hAnsi="Arial"/>
          <w:color w:val="1E293B"/>
          <w:sz w:val="19"/>
        </w:rPr>
        <w:t>Всеки клас избира свои представители в началото на учебната година по време на часа на класа.</w:t>
      </w:r>
    </w:p>
    <w:p>
      <w:pPr>
        <w:spacing w:before="30" w:after="60" w:line="276" w:lineRule="auto"/>
        <w:ind w:left="216"/>
      </w:pPr>
      <w:r>
        <w:rPr>
          <w:rFonts w:ascii="Arial" w:hAnsi="Arial"/>
          <w:b/>
          <w:color w:val="0F172A"/>
          <w:sz w:val="19"/>
        </w:rPr>
        <w:t xml:space="preserve">(5) Работни екипи (Ученици-доброволци): </w:t>
      </w:r>
      <w:r>
        <w:rPr>
          <w:rFonts w:ascii="Arial" w:hAnsi="Arial"/>
          <w:color w:val="1E293B"/>
          <w:sz w:val="19"/>
        </w:rPr>
        <w:t>Всички ученици от класовете, които се включват по доброволно желание в дейността на избрана комисия.</w:t>
      </w: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7. Изменения в структурата</w:t>
      </w:r>
    </w:p>
    <w:p>
      <w:pPr>
        <w:spacing w:before="30" w:after="60" w:line="276" w:lineRule="auto"/>
      </w:pPr>
      <w:r>
        <w:rPr>
          <w:rFonts w:ascii="Arial" w:hAnsi="Arial"/>
          <w:color w:val="1E293B"/>
          <w:sz w:val="19"/>
        </w:rPr>
        <w:t>Настоящият списък от длъжности може да бъде изменян или допълван след обсъждане и гласуване при наличие на кворум на заседание на УП.</w:t>
      </w: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8. Условия и ред за избор на ръководни позиции</w:t>
      </w:r>
    </w:p>
    <w:p>
      <w:pPr>
        <w:spacing w:before="30" w:after="60" w:line="276" w:lineRule="auto"/>
      </w:pPr>
      <w:r>
        <w:rPr>
          <w:rFonts w:ascii="Arial" w:hAnsi="Arial"/>
          <w:b/>
          <w:color w:val="0F172A"/>
          <w:sz w:val="19"/>
        </w:rPr>
        <w:t xml:space="preserve">(1) </w:t>
      </w:r>
      <w:r>
        <w:rPr>
          <w:rFonts w:ascii="Arial" w:hAnsi="Arial"/>
          <w:color w:val="1E293B"/>
          <w:sz w:val="19"/>
        </w:rPr>
        <w:t>Ръководните позиции се избират в началото на учебната година, а при нужда се свикват извънредни събрания за избор на нови членове.</w:t>
      </w:r>
    </w:p>
    <w:p>
      <w:pPr>
        <w:spacing w:before="30" w:after="60" w:line="276" w:lineRule="auto"/>
      </w:pPr>
      <w:r>
        <w:rPr>
          <w:rFonts w:ascii="Arial" w:hAnsi="Arial"/>
          <w:b/>
          <w:color w:val="0F172A"/>
          <w:sz w:val="19"/>
        </w:rPr>
        <w:t xml:space="preserve">(2) </w:t>
      </w:r>
      <w:r>
        <w:rPr>
          <w:rFonts w:ascii="Arial" w:hAnsi="Arial"/>
          <w:color w:val="1E293B"/>
          <w:sz w:val="19"/>
        </w:rPr>
        <w:t>Изисквания към кандидатите за Управителен съвет: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Кандидатите за Председател трябва да са ученици от IX, X или XI клас, да се ползват с авторитет сред съучениците си, да спазват Етичния кодекс и да нямат наложени действащи санкции по чл. 199, ал. 1 от ЗПУО.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Кандидатите за Заместник-председател и PR мениджър трябва да са ученици от VIII до XII клас, да се ползват с уважение в училищната общност, да притежават организационни и комуникационни умения и да нямат наложени санкции.</w:t>
      </w:r>
    </w:p>
    <w:p>
      <w:pPr>
        <w:spacing w:before="30" w:after="60" w:line="276" w:lineRule="auto"/>
      </w:pPr>
      <w:r>
        <w:rPr>
          <w:rFonts w:ascii="Arial" w:hAnsi="Arial"/>
          <w:b/>
          <w:color w:val="0F172A"/>
          <w:sz w:val="19"/>
        </w:rPr>
        <w:t xml:space="preserve">(3) </w:t>
      </w:r>
      <w:r>
        <w:rPr>
          <w:rFonts w:ascii="Arial" w:hAnsi="Arial"/>
          <w:color w:val="1E293B"/>
          <w:sz w:val="19"/>
        </w:rPr>
        <w:t>Процедура за гласуване: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Представителите на класовете се избират по време на часа на класа с явно или тайно гласуване, като за избран се счита ученикът, получил най-много гласове.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Изборът на Управителен съвет се осъществява чрез гласуване от представителите в УП или чрез общоучилищно електронно гласуване в официалния уебсайт на парламента.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Ръководителите на комисии се излъчват измежду легитимните представители на класовете.</w:t>
      </w:r>
    </w:p>
    <w:p>
      <w:pPr>
        <w:spacing w:before="0" w:after="12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Look w:firstColumn="1" w:firstRow="1" w:lastColumn="0" w:lastRow="0" w:noHBand="0" w:noVBand="1" w:val="04A0"/>
      </w:tblPr>
      <w:tblGrid>
        <w:gridCol w:w="9633"/>
      </w:tblGrid>
      <w:tr>
        <w:trPr>
          <w:cantSplit/>
        </w:trPr>
        <w:tc>
          <w:tcPr>
            <w:tcW w:type="dxa" w:w="9634"/>
            <w:tcMar>
              <w:top w:w="140" w:type="dxa"/>
              <w:left w:w="180" w:type="dxa"/>
              <w:bottom w:w="140" w:type="dxa"/>
              <w:right w:w="180" w:type="dxa"/>
            </w:tcMar>
            <w:shd w:fill="F8FAFC"/>
            <w:tcBorders>
              <w:top w:val="single" w:sz="6" w:space="0" w:color="E2E8F0"/>
              <w:left w:val="single" w:sz="24" w:space="0" w:color="8A1538"/>
              <w:bottom w:val="single" w:sz="6" w:space="0" w:color="E2E8F0"/>
              <w:right w:val="single" w:sz="6" w:space="0" w:color="E2E8F0"/>
            </w:tcBorders>
          </w:tcPr>
          <w:p>
            <w:pPr>
              <w:keepNext/>
              <w:spacing w:before="0" w:after="0" w:line="276" w:lineRule="auto"/>
            </w:pPr>
            <w:r>
              <w:rPr>
                <w:rFonts w:ascii="Arial" w:hAnsi="Arial"/>
                <w:b/>
                <w:color w:val="8A1538"/>
                <w:sz w:val="22"/>
              </w:rPr>
              <w:t xml:space="preserve">ГЛАВА III: </w:t>
            </w:r>
            <w:r>
              <w:rPr>
                <w:rFonts w:ascii="Arial" w:hAnsi="Arial"/>
                <w:b/>
                <w:color w:val="0F172A"/>
                <w:sz w:val="22"/>
              </w:rPr>
              <w:t xml:space="preserve">ПРАВА И ЗАДЪЛЖЕНИЯ НА ОРГАНИТЕ И КОМИСИИТЕ  </w:t>
            </w:r>
            <w:r>
              <w:rPr>
                <w:rFonts w:ascii="Arial" w:hAnsi="Arial"/>
                <w:b/>
                <w:color w:val="B45309"/>
                <w:sz w:val="18"/>
              </w:rPr>
              <w:t>[Чл. 9 – Чл. 11]</w:t>
            </w:r>
          </w:p>
        </w:tc>
      </w:tr>
    </w:tbl>
    <w:p>
      <w:pPr>
        <w:spacing w:before="0" w:after="60" w:line="240" w:lineRule="auto"/>
      </w:pP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9. Права на Общото събрание на УП (ОСУП)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Изменя и допълва настоящия Устав чрез гласуване.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Избира и освобождава членовете на Управителния съвет и ръководителите на комисии.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Приема основните насоки и годишната програма за дейността на УП.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Обсъжда и решава въпроси, засягащи училищния живот и училищната общност, включително дава становища по училищния учебен план и правилника на училището.</w:t>
      </w: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10. Права и отговорности на Управителния съвет (УС)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Управителният съвет е върховният оперативен орган, който взема стратегическите решения, общува с училищното ръководство и гарантира изпълнението на годишния план.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Подготвя материалите и дневния ред за всяко събрание на УП.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Тримата членове на Управителния съвет (Председател, Заместник-председател и PR мениджър) представляват ученическото самоуправление със съвещателен глас в работата на Обществения съвет на училището съгласно чл. 267, ал. 2 от ЗПУО.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Участва в заседанията на Педагогическия съвет със съвещателен глас по въпроси, засягащи учениците, съгласно чл. 262, ал. 4 от ЗПУО.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Участва в създаването и приемането на Етичния кодекс на училищната общност съгласно чл. 175, ал. 1 от ЗПУО.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Води периодична отчетност за дейността си пред учениците и Педагогическия съвет.</w:t>
      </w: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11. Дейност на постоянните комисии</w:t>
      </w:r>
    </w:p>
    <w:p>
      <w:pPr>
        <w:spacing w:before="30" w:after="60" w:line="276" w:lineRule="auto"/>
      </w:pPr>
      <w:r>
        <w:rPr>
          <w:rFonts w:ascii="Arial" w:hAnsi="Arial"/>
          <w:color w:val="1E293B"/>
          <w:sz w:val="19"/>
        </w:rPr>
        <w:t>Комисиите получават стратегически насоки от Управителния съвет и имат оперативна свобода да ги реализират чрез конкретни планове за работа: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b/>
          <w:color w:val="0F172A"/>
          <w:sz w:val="19"/>
        </w:rPr>
        <w:t xml:space="preserve">Комисия „Празници и култура“: </w:t>
      </w:r>
      <w:r>
        <w:rPr>
          <w:rFonts w:ascii="Arial" w:hAnsi="Arial"/>
          <w:color w:val="1E293B"/>
          <w:sz w:val="19"/>
        </w:rPr>
        <w:t>Разработва план за организация на празници, тържества и концерти, пише сценарии и подготвя украса и музикално оформление.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b/>
          <w:color w:val="0F172A"/>
          <w:sz w:val="19"/>
        </w:rPr>
        <w:t xml:space="preserve">Комисия „Благотворителност и социални дейности“: </w:t>
      </w:r>
      <w:r>
        <w:rPr>
          <w:rFonts w:ascii="Arial" w:hAnsi="Arial"/>
          <w:color w:val="1E293B"/>
          <w:sz w:val="19"/>
        </w:rPr>
        <w:t>Планира благотворителни кампании и социални инициативи, организира графици за дежурства и координира отчитането на дарения и материали.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b/>
          <w:color w:val="0F172A"/>
          <w:sz w:val="19"/>
        </w:rPr>
        <w:t xml:space="preserve">Комисия „Медии и дизайн“: </w:t>
      </w:r>
      <w:r>
        <w:rPr>
          <w:rFonts w:ascii="Arial" w:hAnsi="Arial"/>
          <w:color w:val="1E293B"/>
          <w:sz w:val="19"/>
        </w:rPr>
        <w:t>Изработва визуалните материали, заснема събитията и управлява профилите в социалните мрежи и уебсайта на УП съвместно с PR мениджъра.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b/>
          <w:color w:val="0F172A"/>
          <w:sz w:val="19"/>
        </w:rPr>
        <w:t xml:space="preserve">Комисия „Спорт и екология“: </w:t>
      </w:r>
      <w:r>
        <w:rPr>
          <w:rFonts w:ascii="Arial" w:hAnsi="Arial"/>
          <w:color w:val="1E293B"/>
          <w:sz w:val="19"/>
        </w:rPr>
        <w:t>Инициира и създава регламенти за вътрешноучилищни спортни турнири и организира екологични и зелени акции.</w:t>
      </w:r>
    </w:p>
    <w:p>
      <w:pPr>
        <w:spacing w:before="0" w:after="12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Look w:firstColumn="1" w:firstRow="1" w:lastColumn="0" w:lastRow="0" w:noHBand="0" w:noVBand="1" w:val="04A0"/>
      </w:tblPr>
      <w:tblGrid>
        <w:gridCol w:w="9633"/>
      </w:tblGrid>
      <w:tr>
        <w:trPr>
          <w:cantSplit/>
        </w:trPr>
        <w:tc>
          <w:tcPr>
            <w:tcW w:type="dxa" w:w="9634"/>
            <w:tcMar>
              <w:top w:w="140" w:type="dxa"/>
              <w:left w:w="180" w:type="dxa"/>
              <w:bottom w:w="140" w:type="dxa"/>
              <w:right w:w="180" w:type="dxa"/>
            </w:tcMar>
            <w:shd w:fill="F8FAFC"/>
            <w:tcBorders>
              <w:top w:val="single" w:sz="6" w:space="0" w:color="E2E8F0"/>
              <w:left w:val="single" w:sz="24" w:space="0" w:color="8A1538"/>
              <w:bottom w:val="single" w:sz="6" w:space="0" w:color="E2E8F0"/>
              <w:right w:val="single" w:sz="6" w:space="0" w:color="E2E8F0"/>
            </w:tcBorders>
          </w:tcPr>
          <w:p>
            <w:pPr>
              <w:keepNext/>
              <w:spacing w:before="0" w:after="0" w:line="276" w:lineRule="auto"/>
            </w:pPr>
            <w:r>
              <w:rPr>
                <w:rFonts w:ascii="Arial" w:hAnsi="Arial"/>
                <w:b/>
                <w:color w:val="8A1538"/>
                <w:sz w:val="22"/>
              </w:rPr>
              <w:t xml:space="preserve">ГЛАВА IV: </w:t>
            </w:r>
            <w:r>
              <w:rPr>
                <w:rFonts w:ascii="Arial" w:hAnsi="Arial"/>
                <w:b/>
                <w:color w:val="0F172A"/>
                <w:sz w:val="22"/>
              </w:rPr>
              <w:t xml:space="preserve">ОТГОВОРНОСТИ НА ПОЗИЦИИТЕ В УП  </w:t>
            </w:r>
            <w:r>
              <w:rPr>
                <w:rFonts w:ascii="Arial" w:hAnsi="Arial"/>
                <w:b/>
                <w:color w:val="B45309"/>
                <w:sz w:val="18"/>
              </w:rPr>
              <w:t>[Чл. 12 – Чл. 14]</w:t>
            </w:r>
          </w:p>
        </w:tc>
      </w:tr>
    </w:tbl>
    <w:p>
      <w:pPr>
        <w:spacing w:before="0" w:after="60" w:line="240" w:lineRule="auto"/>
      </w:pP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12. Отговорности на представителите на паралелките (Членове на УП)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Спазват Устава на УП, Правилника на училището и Етичния кодекс.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Участват активно в събранията на УП и представляват своя клас.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Не използват позицията си за лични облаги или цели, противоречащи на Устава.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Своевременно уведомяват класа за взетите решения и за предстоящи обсъждания и анкети.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Съдействат за защитата на правата и достойнството на всеки ученик от своя клас и участват при планирането на часа на класа.</w:t>
      </w: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13. Отговорности на членовете на Управителния съвет</w:t>
      </w:r>
    </w:p>
    <w:p>
      <w:pPr>
        <w:spacing w:before="30" w:after="60" w:line="276" w:lineRule="auto"/>
      </w:pPr>
      <w:r>
        <w:rPr>
          <w:rFonts w:ascii="Arial" w:hAnsi="Arial"/>
          <w:b/>
          <w:color w:val="0F172A"/>
          <w:sz w:val="19"/>
        </w:rPr>
        <w:t xml:space="preserve">(1) Председател [Мандатност: 1 година] – </w:t>
      </w:r>
      <w:r>
        <w:rPr>
          <w:rFonts w:ascii="Arial" w:hAnsi="Arial"/>
          <w:color w:val="1E293B"/>
          <w:sz w:val="19"/>
        </w:rPr>
        <w:t>Ръководи дейността на парламента и официалното представителство: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Свиква и ръководи заседанията на Управителния съвет и Общото събрание, като утвърждава дневния им ред и следи за спазването на демократичния тон.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Официално представлява учениците и внася техните предложения и становища пред Директора, Педагогическия съвет и Обществения съвет.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Изгражда и поддържа партньорствата на парламента с други училища и външни младежки организации.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Ръководи изпълнението на годишния план, координира общата работа на комисиите и следи за спазването на крайните срокове.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Насърчава диалога и съдейства за разрешаване на вътрешни спорове в екипа.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Отговаря за прозрачното приемане и разпределяне на средства от дарения и благотворителни инициативи чрез двустранни протоколи.</w:t>
      </w:r>
    </w:p>
    <w:p>
      <w:pPr>
        <w:spacing w:before="30" w:after="60" w:line="276" w:lineRule="auto"/>
      </w:pPr>
      <w:r>
        <w:rPr>
          <w:rFonts w:ascii="Arial" w:hAnsi="Arial"/>
          <w:b/>
          <w:color w:val="0F172A"/>
          <w:sz w:val="19"/>
        </w:rPr>
        <w:t xml:space="preserve">(2) Заместник-председател [Мандатност: 1 година] – </w:t>
      </w:r>
      <w:r>
        <w:rPr>
          <w:rFonts w:ascii="Arial" w:hAnsi="Arial"/>
          <w:color w:val="1E293B"/>
          <w:sz w:val="19"/>
        </w:rPr>
        <w:t>Оперативна и логистична координация: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Подпомага Председателя в неговата работа и поема функциите му в негово отсъствие.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Участва като представител на учениците със съвещателен глас в Обществения съвет на училището.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Подкрепя оперативно ръководителите на четирите комисии при подготовката на техните дейности.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Съдейства за добрата логистика, безопасността и реда по време на училищни събития в комуникация с дежурните учители.</w:t>
      </w:r>
    </w:p>
    <w:p>
      <w:pPr>
        <w:spacing w:before="30" w:after="60" w:line="276" w:lineRule="auto"/>
      </w:pPr>
      <w:r>
        <w:rPr>
          <w:rFonts w:ascii="Arial" w:hAnsi="Arial"/>
          <w:b/>
          <w:color w:val="0F172A"/>
          <w:sz w:val="19"/>
        </w:rPr>
        <w:t xml:space="preserve">(3) PR мениджър (Връзки с обществеността) [Мандатност: 1 година] – </w:t>
      </w:r>
      <w:r>
        <w:rPr>
          <w:rFonts w:ascii="Arial" w:hAnsi="Arial"/>
          <w:color w:val="1E293B"/>
          <w:sz w:val="19"/>
        </w:rPr>
        <w:t>Комуникация, медии и обратна връзка: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Грижи се за положителния имидж на организацията и участва като трети представител със съвещателен глас в Обществения съвет.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Разработва стратегии за популяризиране на инициативите сред максимален брой ученици.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Изготвя официалните текстове, обръщения и протоколи от заседанията и поддържа архива на парламента и уебсайта.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Създава и анализира анкети за събиране на обратна връзка от класовете.</w:t>
      </w: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14. Отговорности на Ръководителите на комисии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Водят срещите на своята комисия и разработват конкретни планове за действие.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Разпределят задачите между доброволците и отговарят за набавянето и съхранението на нужните материали.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Поддържат добрия тон, равнопоставеността и екипната работа в комисията.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Имат право да правят предложения до Управителния съвет и при възникнали затруднения го уведомяват своевременно за съдействие.</w:t>
      </w:r>
    </w:p>
    <w:p>
      <w:pPr>
        <w:spacing w:before="0" w:after="12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Look w:firstColumn="1" w:firstRow="1" w:lastColumn="0" w:lastRow="0" w:noHBand="0" w:noVBand="1" w:val="04A0"/>
      </w:tblPr>
      <w:tblGrid>
        <w:gridCol w:w="9633"/>
      </w:tblGrid>
      <w:tr>
        <w:trPr>
          <w:cantSplit/>
        </w:trPr>
        <w:tc>
          <w:tcPr>
            <w:tcW w:type="dxa" w:w="9634"/>
            <w:tcMar>
              <w:top w:w="140" w:type="dxa"/>
              <w:left w:w="180" w:type="dxa"/>
              <w:bottom w:w="140" w:type="dxa"/>
              <w:right w:w="180" w:type="dxa"/>
            </w:tcMar>
            <w:shd w:fill="F8FAFC"/>
            <w:tcBorders>
              <w:top w:val="single" w:sz="6" w:space="0" w:color="E2E8F0"/>
              <w:left w:val="single" w:sz="24" w:space="0" w:color="8A1538"/>
              <w:bottom w:val="single" w:sz="6" w:space="0" w:color="E2E8F0"/>
              <w:right w:val="single" w:sz="6" w:space="0" w:color="E2E8F0"/>
            </w:tcBorders>
          </w:tcPr>
          <w:p>
            <w:pPr>
              <w:keepNext/>
              <w:spacing w:before="0" w:after="0" w:line="276" w:lineRule="auto"/>
            </w:pPr>
            <w:r>
              <w:rPr>
                <w:rFonts w:ascii="Arial" w:hAnsi="Arial"/>
                <w:b/>
                <w:color w:val="8A1538"/>
                <w:sz w:val="22"/>
              </w:rPr>
              <w:t xml:space="preserve">ГЛАВА V: </w:t>
            </w:r>
            <w:r>
              <w:rPr>
                <w:rFonts w:ascii="Arial" w:hAnsi="Arial"/>
                <w:b/>
                <w:color w:val="0F172A"/>
                <w:sz w:val="22"/>
              </w:rPr>
              <w:t xml:space="preserve">ЧЛЕНСТВО И ДОБРОВОЛЧЕСТВО  </w:t>
            </w:r>
            <w:r>
              <w:rPr>
                <w:rFonts w:ascii="Arial" w:hAnsi="Arial"/>
                <w:b/>
                <w:color w:val="B45309"/>
                <w:sz w:val="18"/>
              </w:rPr>
              <w:t>[Чл. 15 – Чл. 17]</w:t>
            </w:r>
          </w:p>
        </w:tc>
      </w:tr>
    </w:tbl>
    <w:p>
      <w:pPr>
        <w:spacing w:before="0" w:after="60" w:line="240" w:lineRule="auto"/>
      </w:pP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15. Профил и право на членство</w:t>
      </w:r>
    </w:p>
    <w:p>
      <w:pPr>
        <w:spacing w:before="30" w:after="60" w:line="276" w:lineRule="auto"/>
      </w:pPr>
      <w:r>
        <w:rPr>
          <w:rFonts w:ascii="Arial" w:hAnsi="Arial"/>
          <w:b/>
          <w:color w:val="0F172A"/>
          <w:sz w:val="19"/>
        </w:rPr>
        <w:t xml:space="preserve">(1) </w:t>
      </w:r>
      <w:r>
        <w:rPr>
          <w:rFonts w:ascii="Arial" w:hAnsi="Arial"/>
          <w:color w:val="1E293B"/>
          <w:sz w:val="19"/>
        </w:rPr>
        <w:t>Участието в Ученическия парламент е въпрос на личен избор, отговорност и съпричастност към училищния живот, като никой ученик не може да бъде задължен да участва против волята си.</w:t>
      </w:r>
    </w:p>
    <w:p>
      <w:pPr>
        <w:spacing w:before="30" w:after="60" w:line="276" w:lineRule="auto"/>
      </w:pPr>
      <w:r>
        <w:rPr>
          <w:rFonts w:ascii="Arial" w:hAnsi="Arial"/>
          <w:b/>
          <w:color w:val="0F172A"/>
          <w:sz w:val="19"/>
        </w:rPr>
        <w:t xml:space="preserve">(2) </w:t>
      </w:r>
      <w:r>
        <w:rPr>
          <w:rFonts w:ascii="Arial" w:hAnsi="Arial"/>
          <w:color w:val="1E293B"/>
          <w:sz w:val="19"/>
        </w:rPr>
        <w:t>Право на членство и участие като доброволци имат всички ученици на СУ „П. Р. Славейков“, без допускане на каквато и да е дискриминация.</w:t>
      </w:r>
    </w:p>
    <w:p>
      <w:pPr>
        <w:spacing w:before="30" w:after="60" w:line="276" w:lineRule="auto"/>
      </w:pPr>
      <w:r>
        <w:rPr>
          <w:rFonts w:ascii="Arial" w:hAnsi="Arial"/>
          <w:b/>
          <w:color w:val="0F172A"/>
          <w:sz w:val="19"/>
        </w:rPr>
        <w:t xml:space="preserve">(3) </w:t>
      </w:r>
      <w:r>
        <w:rPr>
          <w:rFonts w:ascii="Arial" w:hAnsi="Arial"/>
          <w:color w:val="1E293B"/>
          <w:sz w:val="19"/>
        </w:rPr>
        <w:t>Представителите на класовете се избират за срок от една учебна година, като при желание на мнозинството от класа може да се проведе нов избор.</w:t>
      </w: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16. Права и отговорности на учениците-доброволци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Участват активно в срещите на избраната от тях комисия.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Поемат отговорност за изпълнението на задачите в сътрудничество с ръководителя на комисията.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Дават идеи и предложения за подобряване на дейността.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Имат право по всяко време да сменят своята комисия.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Активните доброволци и членове могат да бъдат предлагани за поощряване с морални и материални награди съгласно чл. 184 от ЗПУО.</w:t>
      </w: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17. Процедура при напускане</w:t>
      </w:r>
    </w:p>
    <w:p>
      <w:pPr>
        <w:spacing w:before="30" w:after="60" w:line="276" w:lineRule="auto"/>
      </w:pPr>
      <w:r>
        <w:rPr>
          <w:rFonts w:ascii="Arial" w:hAnsi="Arial"/>
          <w:color w:val="1E293B"/>
          <w:sz w:val="19"/>
        </w:rPr>
        <w:t>Всеки член може да напусне УП по лични, здравословни причини или при напускане на училището чрез подаване на заявление до Управителния съвет.</w:t>
      </w:r>
    </w:p>
    <w:p>
      <w:pPr>
        <w:spacing w:before="0" w:after="12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Look w:firstColumn="1" w:firstRow="1" w:lastColumn="0" w:lastRow="0" w:noHBand="0" w:noVBand="1" w:val="04A0"/>
      </w:tblPr>
      <w:tblGrid>
        <w:gridCol w:w="9633"/>
      </w:tblGrid>
      <w:tr>
        <w:trPr>
          <w:cantSplit/>
        </w:trPr>
        <w:tc>
          <w:tcPr>
            <w:tcW w:type="dxa" w:w="9634"/>
            <w:tcMar>
              <w:top w:w="140" w:type="dxa"/>
              <w:left w:w="180" w:type="dxa"/>
              <w:bottom w:w="140" w:type="dxa"/>
              <w:right w:w="180" w:type="dxa"/>
            </w:tcMar>
            <w:shd w:fill="F8FAFC"/>
            <w:tcBorders>
              <w:top w:val="single" w:sz="6" w:space="0" w:color="E2E8F0"/>
              <w:left w:val="single" w:sz="24" w:space="0" w:color="8A1538"/>
              <w:bottom w:val="single" w:sz="6" w:space="0" w:color="E2E8F0"/>
              <w:right w:val="single" w:sz="6" w:space="0" w:color="E2E8F0"/>
            </w:tcBorders>
          </w:tcPr>
          <w:p>
            <w:pPr>
              <w:keepNext/>
              <w:spacing w:before="0" w:after="0" w:line="276" w:lineRule="auto"/>
            </w:pPr>
            <w:r>
              <w:rPr>
                <w:rFonts w:ascii="Arial" w:hAnsi="Arial"/>
                <w:b/>
                <w:color w:val="8A1538"/>
                <w:sz w:val="22"/>
              </w:rPr>
              <w:t xml:space="preserve">ГЛАВА VI: </w:t>
            </w:r>
            <w:r>
              <w:rPr>
                <w:rFonts w:ascii="Arial" w:hAnsi="Arial"/>
                <w:b/>
                <w:color w:val="0F172A"/>
                <w:sz w:val="22"/>
              </w:rPr>
              <w:t xml:space="preserve">ЕТИКА И ОТГОВОРНОСТ  </w:t>
            </w:r>
            <w:r>
              <w:rPr>
                <w:rFonts w:ascii="Arial" w:hAnsi="Arial"/>
                <w:b/>
                <w:color w:val="B45309"/>
                <w:sz w:val="18"/>
              </w:rPr>
              <w:t>[Чл. 18 – Чл. 19]</w:t>
            </w:r>
          </w:p>
        </w:tc>
      </w:tr>
    </w:tbl>
    <w:p>
      <w:pPr>
        <w:spacing w:before="0" w:after="60" w:line="240" w:lineRule="auto"/>
      </w:pP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18. Мерки при неизпълнение на задължения</w:t>
      </w:r>
    </w:p>
    <w:p>
      <w:pPr>
        <w:spacing w:before="30" w:after="60" w:line="276" w:lineRule="auto"/>
      </w:pPr>
      <w:r>
        <w:rPr>
          <w:rFonts w:ascii="Arial" w:hAnsi="Arial"/>
          <w:color w:val="1E293B"/>
          <w:sz w:val="19"/>
        </w:rPr>
        <w:t>При системни безпричинни отсъствия или неизпълнение на поети ангажименти се прилагат следните мерки: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Обсъждане и изясняване на причините на заседание на УП.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Предупреждение за освобождаване от позиция в УП.</w:t>
      </w:r>
    </w:p>
    <w:p>
      <w:pPr>
        <w:spacing w:before="30" w:after="40" w:line="276" w:lineRule="auto"/>
        <w:ind w:left="360"/>
      </w:pPr>
      <w:r>
        <w:rPr>
          <w:rFonts w:ascii="Arial" w:hAnsi="Arial"/>
          <w:b/>
          <w:color w:val="8A1538"/>
          <w:sz w:val="19"/>
        </w:rPr>
        <w:t xml:space="preserve">•  </w:t>
      </w:r>
      <w:r>
        <w:rPr>
          <w:rFonts w:ascii="Arial" w:hAnsi="Arial"/>
          <w:color w:val="1E293B"/>
          <w:sz w:val="19"/>
        </w:rPr>
        <w:t>Освобождаване от позиция в УП и избор на нов представител.</w:t>
      </w: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19. Прилагане на мерките</w:t>
      </w:r>
    </w:p>
    <w:p>
      <w:pPr>
        <w:spacing w:before="30" w:after="60" w:line="276" w:lineRule="auto"/>
      </w:pPr>
      <w:r>
        <w:rPr>
          <w:rFonts w:ascii="Arial" w:hAnsi="Arial"/>
          <w:b/>
          <w:color w:val="0F172A"/>
          <w:sz w:val="19"/>
        </w:rPr>
        <w:t xml:space="preserve">(1) </w:t>
      </w:r>
      <w:r>
        <w:rPr>
          <w:rFonts w:ascii="Arial" w:hAnsi="Arial"/>
          <w:color w:val="1E293B"/>
          <w:sz w:val="19"/>
        </w:rPr>
        <w:t>При две поредни безпричинни отсъствия от заседания се провежда разговор по чл. 18, т. 1.</w:t>
      </w:r>
    </w:p>
    <w:p>
      <w:pPr>
        <w:spacing w:before="30" w:after="60" w:line="276" w:lineRule="auto"/>
      </w:pPr>
      <w:r>
        <w:rPr>
          <w:rFonts w:ascii="Arial" w:hAnsi="Arial"/>
          <w:b/>
          <w:color w:val="0F172A"/>
          <w:sz w:val="19"/>
        </w:rPr>
        <w:t xml:space="preserve">(2) </w:t>
      </w:r>
      <w:r>
        <w:rPr>
          <w:rFonts w:ascii="Arial" w:hAnsi="Arial"/>
          <w:color w:val="1E293B"/>
          <w:sz w:val="19"/>
        </w:rPr>
        <w:t>При три поредни безпричинни отсъствия се отправя предупреждение по чл. 18, т. 2.</w:t>
      </w:r>
    </w:p>
    <w:p>
      <w:pPr>
        <w:spacing w:before="30" w:after="60" w:line="276" w:lineRule="auto"/>
      </w:pPr>
      <w:r>
        <w:rPr>
          <w:rFonts w:ascii="Arial" w:hAnsi="Arial"/>
          <w:b/>
          <w:color w:val="0F172A"/>
          <w:sz w:val="19"/>
        </w:rPr>
        <w:t xml:space="preserve">(3) </w:t>
      </w:r>
      <w:r>
        <w:rPr>
          <w:rFonts w:ascii="Arial" w:hAnsi="Arial"/>
          <w:color w:val="1E293B"/>
          <w:sz w:val="19"/>
        </w:rPr>
        <w:t>При четири поредни безпричинни отсъствия представителят се освобождава по чл. 18, т. 3 и съответният клас избира свой нов представител.</w:t>
      </w:r>
    </w:p>
    <w:p>
      <w:pPr>
        <w:spacing w:before="30" w:after="60" w:line="276" w:lineRule="auto"/>
      </w:pPr>
      <w:r>
        <w:rPr>
          <w:rFonts w:ascii="Arial" w:hAnsi="Arial"/>
          <w:b/>
          <w:color w:val="0F172A"/>
          <w:sz w:val="19"/>
        </w:rPr>
        <w:t xml:space="preserve">(4) </w:t>
      </w:r>
      <w:r>
        <w:rPr>
          <w:rFonts w:ascii="Arial" w:hAnsi="Arial"/>
          <w:color w:val="1E293B"/>
          <w:sz w:val="19"/>
        </w:rPr>
        <w:t>Член на УП, който с поведението си нарушава Етичния кодекс или му е наложена санкция от Педагогическия съвет, може да бъде освободен след решение на УП.</w:t>
      </w:r>
    </w:p>
    <w:p>
      <w:pPr>
        <w:spacing w:before="0" w:after="12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Look w:firstColumn="1" w:firstRow="1" w:lastColumn="0" w:lastRow="0" w:noHBand="0" w:noVBand="1" w:val="04A0"/>
      </w:tblPr>
      <w:tblGrid>
        <w:gridCol w:w="9633"/>
      </w:tblGrid>
      <w:tr>
        <w:trPr>
          <w:cantSplit/>
        </w:trPr>
        <w:tc>
          <w:tcPr>
            <w:tcW w:type="dxa" w:w="9634"/>
            <w:tcMar>
              <w:top w:w="140" w:type="dxa"/>
              <w:left w:w="180" w:type="dxa"/>
              <w:bottom w:w="140" w:type="dxa"/>
              <w:right w:w="180" w:type="dxa"/>
            </w:tcMar>
            <w:shd w:fill="F8FAFC"/>
            <w:tcBorders>
              <w:top w:val="single" w:sz="6" w:space="0" w:color="E2E8F0"/>
              <w:left w:val="single" w:sz="24" w:space="0" w:color="8A1538"/>
              <w:bottom w:val="single" w:sz="6" w:space="0" w:color="E2E8F0"/>
              <w:right w:val="single" w:sz="6" w:space="0" w:color="E2E8F0"/>
            </w:tcBorders>
          </w:tcPr>
          <w:p>
            <w:pPr>
              <w:keepNext/>
              <w:spacing w:before="0" w:after="0" w:line="276" w:lineRule="auto"/>
            </w:pPr>
            <w:r>
              <w:rPr>
                <w:rFonts w:ascii="Arial" w:hAnsi="Arial"/>
                <w:b/>
                <w:color w:val="8A1538"/>
                <w:sz w:val="22"/>
              </w:rPr>
              <w:t xml:space="preserve">ГЛАВА VII: </w:t>
            </w:r>
            <w:r>
              <w:rPr>
                <w:rFonts w:ascii="Arial" w:hAnsi="Arial"/>
                <w:b/>
                <w:color w:val="0F172A"/>
                <w:sz w:val="22"/>
              </w:rPr>
              <w:t xml:space="preserve">ФИНАНСИРАНЕ И ЗАКЛЮЧИТЕЛНИ РАЗПОРЕДБИ  </w:t>
            </w:r>
            <w:r>
              <w:rPr>
                <w:rFonts w:ascii="Arial" w:hAnsi="Arial"/>
                <w:b/>
                <w:color w:val="B45309"/>
                <w:sz w:val="18"/>
              </w:rPr>
              <w:t>[Чл. 20 – Чл. 21]</w:t>
            </w:r>
          </w:p>
        </w:tc>
      </w:tr>
    </w:tbl>
    <w:p>
      <w:pPr>
        <w:spacing w:before="0" w:after="60" w:line="240" w:lineRule="auto"/>
      </w:pP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20. Финансиране</w:t>
      </w:r>
    </w:p>
    <w:p>
      <w:pPr>
        <w:spacing w:before="30" w:after="60" w:line="276" w:lineRule="auto"/>
      </w:pPr>
      <w:r>
        <w:rPr>
          <w:rFonts w:ascii="Arial" w:hAnsi="Arial"/>
          <w:color w:val="1E293B"/>
          <w:sz w:val="19"/>
        </w:rPr>
        <w:t>Финансово дейността на Ученическия парламент се подпомага от Училищното настоятелство, спонсори, благотворителни инициативи и доброволни дарения, като за всяка сума се изготвя двустранен протокол и публичен отчет.</w:t>
      </w:r>
    </w:p>
    <w:p>
      <w:pPr>
        <w:keepNext/>
        <w:spacing w:before="100" w:after="40" w:line="264" w:lineRule="auto"/>
      </w:pPr>
      <w:r>
        <w:rPr>
          <w:rFonts w:ascii="Arial" w:hAnsi="Arial"/>
          <w:b/>
          <w:color w:val="1E3A8A"/>
          <w:sz w:val="20"/>
        </w:rPr>
        <w:t>Чл. 21. Промени в Устава</w:t>
      </w:r>
    </w:p>
    <w:p>
      <w:pPr>
        <w:spacing w:before="30" w:after="60" w:line="276" w:lineRule="auto"/>
      </w:pPr>
      <w:r>
        <w:rPr>
          <w:rFonts w:ascii="Arial" w:hAnsi="Arial"/>
          <w:color w:val="1E293B"/>
          <w:sz w:val="19"/>
        </w:rPr>
        <w:t>Настоящият Устав може да бъде частично или изцяло променян с мнозинство (50% + 1) на заседание на УП, в съответствие със ЗПУО, държавните образователни стандарти на МОН и Правилника за дейността на училището.</w:t>
      </w:r>
    </w:p>
    <w:p>
      <w:pPr>
        <w:spacing w:before="0" w:after="24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Look w:firstColumn="1" w:firstRow="1" w:lastColumn="0" w:lastRow="0" w:noHBand="0" w:noVBand="1" w:val="04A0"/>
      </w:tblPr>
      <w:tblGrid>
        <w:gridCol w:w="4816"/>
        <w:gridCol w:w="4816"/>
      </w:tblGrid>
      <w:tr>
        <w:trPr>
          <w:cantSplit/>
        </w:trPr>
        <w:tc>
          <w:tcPr>
            <w:tcW w:type="dxa" w:w="4810"/>
            <w:shd w:fill="F8FAFC"/>
            <w:tcBorders>
              <w:top w:val="single" w:sz="6" w:space="0" w:color="E2E8F0"/>
              <w:left w:val="single" w:sz="18" w:space="0" w:color="8A1538"/>
              <w:bottom w:val="single" w:sz="6" w:space="0" w:color="E2E8F0"/>
              <w:right w:val="single" w:sz="6" w:space="0" w:color="E2E8F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>
            <w:pPr>
              <w:spacing w:before="0" w:after="40"/>
            </w:pPr>
            <w:r>
              <w:rPr>
                <w:rFonts w:ascii="Arial" w:hAnsi="Arial"/>
                <w:b/>
                <w:color w:val="8A1538"/>
                <w:sz w:val="17"/>
              </w:rPr>
              <w:t>ЗА УЧЕНИЧЕСКИЯ ПАРЛАМЕНТ:</w:t>
              <w:br/>
            </w:r>
            <w:r>
              <w:rPr>
                <w:rFonts w:ascii="Arial" w:hAnsi="Arial"/>
                <w:color w:val="334155"/>
                <w:sz w:val="17"/>
              </w:rPr>
              <w:t>Председател на УС на УП</w:t>
              <w:br/>
              <w:t>СУ „Петко Рачов Славейков“</w:t>
              <w:br/>
              <w:br/>
              <w:t>_______________________ (подпис)</w:t>
            </w:r>
          </w:p>
        </w:tc>
        <w:tc>
          <w:tcPr>
            <w:tcW w:type="dxa" w:w="4824"/>
            <w:shd w:fill="F8FAFC"/>
            <w:tcBorders>
              <w:top w:val="single" w:sz="6" w:space="0" w:color="E2E8F0"/>
              <w:left w:val="single" w:sz="18" w:space="0" w:color="DFB15B"/>
              <w:bottom w:val="single" w:sz="6" w:space="0" w:color="E2E8F0"/>
              <w:right w:val="single" w:sz="6" w:space="0" w:color="E2E8F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>
            <w:pPr>
              <w:spacing w:before="0" w:after="40"/>
            </w:pPr>
            <w:r>
              <w:rPr>
                <w:rFonts w:ascii="Arial" w:hAnsi="Arial"/>
                <w:b/>
                <w:color w:val="B45309"/>
                <w:sz w:val="17"/>
              </w:rPr>
              <w:t>СЪГЛАСУВАНО С РЪКОВОДСТВОТО:</w:t>
              <w:br/>
            </w:r>
            <w:r>
              <w:rPr>
                <w:rFonts w:ascii="Arial" w:hAnsi="Arial"/>
                <w:color w:val="334155"/>
                <w:sz w:val="17"/>
              </w:rPr>
              <w:t>Директор на СУ „П. Р. Славейков“</w:t>
              <w:br/>
              <w:t>г-жа Маргарита Демирева</w:t>
              <w:br/>
              <w:br/>
              <w:t>_______________________ (печат и подпис)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080" w:right="1138" w:bottom="1080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 w:after="0"/>
    </w:pPr>
    <w:r>
      <w:rPr>
        <w:rFonts w:ascii="Arial" w:hAnsi="Arial"/>
        <w:color w:val="94A3B8"/>
        <w:sz w:val="16"/>
      </w:rPr>
      <w:t>Официален Устав на Ученическия парламент • Учебна 2026/2027 година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80"/>
      <w:jc w:val="right"/>
    </w:pPr>
    <w:r>
      <w:rPr>
        <w:rFonts w:ascii="Arial" w:hAnsi="Arial"/>
        <w:color w:val="64748B"/>
        <w:sz w:val="16"/>
      </w:rPr>
      <w:t xml:space="preserve">СУ „ПЕТКО РАЧОВ СЛАВЕЙКОВ“ – ГР. КЪРДЖАЛИ • </w:t>
    </w:r>
    <w:r>
      <w:rPr>
        <w:rFonts w:ascii="Arial" w:hAnsi="Arial"/>
        <w:b/>
        <w:color w:val="8A1538"/>
        <w:sz w:val="16"/>
      </w:rPr>
      <w:t>УЧЕНИЧЕСКИ ПАРЛАМЕНТ • ОФИЦИАЛЕН УСТАВ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